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3.1</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4D0157">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8E116F">
        <w:rPr>
          <w:rFonts w:asciiTheme="minorHAnsi" w:hAnsiTheme="minorHAnsi" w:cstheme="minorHAnsi"/>
          <w:color w:val="000000" w:themeColor="text1"/>
          <w:sz w:val="22"/>
        </w:rPr>
        <w:t>dniu ..............  202</w:t>
      </w:r>
      <w:r w:rsidR="004D0157">
        <w:rPr>
          <w:rFonts w:asciiTheme="minorHAnsi" w:hAnsiTheme="minorHAnsi" w:cstheme="minorHAnsi"/>
          <w:color w:val="000000" w:themeColor="text1"/>
          <w:sz w:val="22"/>
        </w:rPr>
        <w:t>5</w:t>
      </w:r>
      <w:r w:rsidRPr="00BF547B">
        <w:rPr>
          <w:rFonts w:asciiTheme="minorHAnsi" w:hAnsiTheme="minorHAnsi" w:cstheme="minorHAnsi"/>
          <w:color w:val="000000" w:themeColor="text1"/>
          <w:sz w:val="22"/>
        </w:rPr>
        <w:t xml:space="preserve"> 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8E116F">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8E116F">
        <w:rPr>
          <w:rFonts w:asciiTheme="minorHAnsi" w:hAnsiTheme="minorHAnsi" w:cstheme="minorHAnsi"/>
          <w:color w:val="000000" w:themeColor="text1"/>
          <w:sz w:val="22"/>
        </w:rPr>
        <w:t>320</w:t>
      </w:r>
      <w:r w:rsidR="004D0157">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7C2915">
        <w:rPr>
          <w:rFonts w:asciiTheme="minorHAnsi" w:hAnsiTheme="minorHAnsi" w:cstheme="minorHAnsi"/>
          <w:b/>
          <w:color w:val="000000" w:themeColor="text1"/>
          <w:sz w:val="22"/>
        </w:rPr>
        <w:t xml:space="preserve">artykułów </w:t>
      </w:r>
      <w:r w:rsidR="00132AC1" w:rsidRPr="00BF547B">
        <w:rPr>
          <w:rFonts w:asciiTheme="minorHAnsi" w:hAnsiTheme="minorHAnsi" w:cstheme="minorHAnsi"/>
          <w:b/>
          <w:color w:val="000000" w:themeColor="text1"/>
          <w:sz w:val="22"/>
        </w:rPr>
        <w:t>spożywczych</w:t>
      </w:r>
      <w:r w:rsidR="00132AC1" w:rsidRPr="00BF547B">
        <w:rPr>
          <w:rFonts w:asciiTheme="minorHAnsi" w:hAnsiTheme="minorHAnsi" w:cstheme="minorHAnsi"/>
          <w:color w:val="000000" w:themeColor="text1"/>
          <w:sz w:val="22"/>
        </w:rPr>
        <w:t xml:space="preserve">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4D0157">
        <w:rPr>
          <w:rFonts w:asciiTheme="minorHAnsi" w:hAnsiTheme="minorHAnsi" w:cstheme="minorHAnsi"/>
          <w:color w:val="000000" w:themeColor="text1"/>
          <w:sz w:val="22"/>
        </w:rPr>
        <w:t xml:space="preserve"> 12 miesięcy od 01 stycznia 2026r. do 31 grudnia 2026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F52462" w:rsidRPr="00BF547B">
        <w:rPr>
          <w:rFonts w:asciiTheme="minorHAnsi" w:hAnsiTheme="minorHAnsi" w:cstheme="minorHAnsi"/>
          <w:b/>
          <w:color w:val="000000" w:themeColor="text1"/>
          <w:sz w:val="22"/>
        </w:rPr>
        <w:t>1</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 4.1 do SWZ. W załączniku nr 4.1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 xml:space="preserve">ć </w:t>
      </w:r>
      <w:r w:rsidR="004D0157">
        <w:rPr>
          <w:rFonts w:asciiTheme="minorHAnsi" w:hAnsiTheme="minorHAnsi" w:cstheme="minorHAnsi"/>
          <w:color w:val="000000" w:themeColor="text1"/>
          <w:sz w:val="22"/>
        </w:rPr>
        <w:t xml:space="preserve">realizacji </w:t>
      </w:r>
      <w:r w:rsidR="001803F9" w:rsidRPr="00BF547B">
        <w:rPr>
          <w:rFonts w:asciiTheme="minorHAnsi" w:hAnsiTheme="minorHAnsi" w:cstheme="minorHAnsi"/>
          <w:color w:val="000000" w:themeColor="text1"/>
          <w:sz w:val="22"/>
        </w:rPr>
        <w:t>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8E116F">
        <w:rPr>
          <w:rFonts w:asciiTheme="minorHAnsi" w:hAnsiTheme="minorHAnsi" w:cstheme="minorHAnsi"/>
          <w:color w:val="000000" w:themeColor="text1"/>
          <w:sz w:val="22"/>
        </w:rPr>
        <w:t>ającego w terminie od 01.01.202</w:t>
      </w:r>
      <w:r w:rsidR="004D0157">
        <w:rPr>
          <w:rFonts w:asciiTheme="minorHAnsi" w:hAnsiTheme="minorHAnsi" w:cstheme="minorHAnsi"/>
          <w:color w:val="000000" w:themeColor="text1"/>
          <w:sz w:val="22"/>
        </w:rPr>
        <w:t>6 r. do 31.12.2026</w:t>
      </w:r>
      <w:r w:rsidRPr="00BF547B">
        <w:rPr>
          <w:rFonts w:asciiTheme="minorHAnsi" w:hAnsiTheme="minorHAnsi" w:cstheme="minorHAnsi"/>
          <w:color w:val="000000" w:themeColor="text1"/>
          <w:sz w:val="22"/>
        </w:rPr>
        <w:t xml:space="preserve"> r. </w:t>
      </w:r>
    </w:p>
    <w:p w:rsidR="001803F9" w:rsidRPr="00BF547B" w:rsidRDefault="001803F9"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Zamawiający zgłaszać będzie zapotrzebowanie na a</w:t>
      </w:r>
      <w:r w:rsidR="004056F1" w:rsidRPr="00BF547B">
        <w:rPr>
          <w:rFonts w:asciiTheme="minorHAnsi" w:eastAsia="Calibri" w:hAnsiTheme="minorHAnsi" w:cstheme="minorHAnsi"/>
          <w:color w:val="000000" w:themeColor="text1"/>
          <w:szCs w:val="22"/>
          <w:u w:val="none"/>
          <w:lang w:bidi="ar-SA"/>
        </w:rPr>
        <w:t xml:space="preserve">rtykuły spożywcze telefonicznie lub e-mailem lub </w:t>
      </w:r>
      <w:r w:rsidRPr="00BF547B">
        <w:rPr>
          <w:rFonts w:asciiTheme="minorHAnsi" w:eastAsia="Calibri" w:hAnsiTheme="minorHAnsi" w:cstheme="minorHAnsi"/>
          <w:color w:val="000000" w:themeColor="text1"/>
          <w:szCs w:val="22"/>
          <w:u w:val="none"/>
          <w:lang w:bidi="ar-SA"/>
        </w:rPr>
        <w:t xml:space="preserve">faksem w dni robocze od poniedziałku do piątku z wyłączeniem sobót, niedziel </w:t>
      </w:r>
      <w:r w:rsidR="004D0157">
        <w:rPr>
          <w:rFonts w:asciiTheme="minorHAnsi" w:eastAsia="Calibri" w:hAnsiTheme="minorHAnsi" w:cstheme="minorHAnsi"/>
          <w:color w:val="000000" w:themeColor="text1"/>
          <w:szCs w:val="22"/>
          <w:u w:val="none"/>
          <w:lang w:bidi="ar-SA"/>
        </w:rPr>
        <w:t>i dni ustawowo wolnych od pracy</w:t>
      </w:r>
      <w:r w:rsidR="004D0157"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w godzinach pomiędzy 08:00 a 12:00.</w:t>
      </w:r>
    </w:p>
    <w:p w:rsidR="009C3CAC" w:rsidRPr="00BF547B"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 xml:space="preserve">Dostawca zobowiązany jest dostarczać artykuły spożywcze zgodnie z zapotrzebowaniem Zamawiającego nie później niż w ciągu 48 godzin </w:t>
      </w:r>
      <w:r w:rsidR="00D573C4" w:rsidRPr="00BF547B">
        <w:rPr>
          <w:rFonts w:asciiTheme="minorHAnsi" w:eastAsia="Calibri" w:hAnsiTheme="minorHAnsi" w:cstheme="minorHAnsi"/>
          <w:color w:val="000000" w:themeColor="text1"/>
          <w:szCs w:val="22"/>
          <w:u w:val="none"/>
          <w:lang w:bidi="ar-SA"/>
        </w:rPr>
        <w:t xml:space="preserve">od poniedziałku do piątku </w:t>
      </w:r>
      <w:r w:rsidRPr="00BF547B">
        <w:rPr>
          <w:rFonts w:asciiTheme="minorHAnsi" w:eastAsia="Calibri" w:hAnsiTheme="minorHAnsi" w:cstheme="minorHAnsi"/>
          <w:color w:val="000000" w:themeColor="text1"/>
          <w:szCs w:val="22"/>
          <w:u w:val="none"/>
          <w:lang w:bidi="ar-SA"/>
        </w:rPr>
        <w:t>w godzinach od 08:00 do 12:00 licząc od ch</w:t>
      </w:r>
      <w:r w:rsidR="00352B7D" w:rsidRPr="00BF547B">
        <w:rPr>
          <w:rFonts w:asciiTheme="minorHAnsi" w:eastAsia="Calibri" w:hAnsiTheme="minorHAnsi" w:cstheme="minorHAnsi"/>
          <w:color w:val="000000" w:themeColor="text1"/>
          <w:szCs w:val="22"/>
          <w:u w:val="none"/>
          <w:lang w:bidi="ar-SA"/>
        </w:rPr>
        <w:t>wili zgłoszenia zapotrzebowania.</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 xml:space="preserve">/sobota, niedziela lub </w:t>
      </w:r>
      <w:r w:rsidR="004D0157">
        <w:rPr>
          <w:rFonts w:asciiTheme="minorHAnsi" w:eastAsia="Calibri" w:hAnsiTheme="minorHAnsi" w:cstheme="minorHAnsi"/>
          <w:color w:val="000000" w:themeColor="text1"/>
          <w:szCs w:val="22"/>
          <w:u w:val="none"/>
          <w:lang w:bidi="ar-SA"/>
        </w:rPr>
        <w:t>dzień ustawowo wolny od pracy</w:t>
      </w:r>
      <w:r w:rsidRPr="00BF547B">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BF547B"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za wykonanie przedmiotu umowy określonego w § 1 strony ustalają zgodnie Ofertą Dostawcy oraz Formularzem wyceny (sporządzonym zgodnie z załącznikiem nr 1b.1 do SWZ, zwany dalej „Formularzem Wyceny”), na kwotę brutto w wysokości ……………………........zł (słownie: ……………………), w tym podatek VAT według stawki obowiązującej na dzień złożenia oferty. </w:t>
      </w:r>
      <w:r w:rsidR="009C1E3D" w:rsidRPr="00BF547B">
        <w:rPr>
          <w:rFonts w:asciiTheme="minorHAnsi" w:hAnsiTheme="minorHAnsi" w:cstheme="minorHAnsi"/>
          <w:color w:val="000000" w:themeColor="text1"/>
          <w:sz w:val="22"/>
        </w:rPr>
        <w:t xml:space="preserve">Kwota ta odpowiada sumie iloczynów ilości maksymalnych poszczególnych </w:t>
      </w:r>
      <w:r w:rsidR="008E116F">
        <w:rPr>
          <w:rFonts w:asciiTheme="minorHAnsi" w:hAnsiTheme="minorHAnsi" w:cstheme="minorHAnsi"/>
          <w:color w:val="000000" w:themeColor="text1"/>
          <w:sz w:val="22"/>
        </w:rPr>
        <w:t xml:space="preserve">artykułów spożywczych i </w:t>
      </w:r>
      <w:r w:rsidR="009C1E3D" w:rsidRPr="00BF547B">
        <w:rPr>
          <w:rFonts w:asciiTheme="minorHAnsi" w:hAnsiTheme="minorHAnsi" w:cstheme="minorHAnsi"/>
          <w:color w:val="000000" w:themeColor="text1"/>
          <w:sz w:val="22"/>
        </w:rPr>
        <w:t xml:space="preserve"> ich cen jednostkowych </w:t>
      </w:r>
      <w:r w:rsidRPr="00BF547B">
        <w:rPr>
          <w:rFonts w:asciiTheme="minorHAnsi" w:hAnsiTheme="minorHAnsi" w:cstheme="minorHAnsi"/>
          <w:color w:val="000000" w:themeColor="text1"/>
          <w:sz w:val="22"/>
        </w:rPr>
        <w:t xml:space="preserve">ryczałtowych </w:t>
      </w:r>
      <w:r w:rsidR="009C1E3D" w:rsidRPr="00BF547B">
        <w:rPr>
          <w:rFonts w:asciiTheme="minorHAnsi" w:hAnsiTheme="minorHAnsi" w:cstheme="minorHAnsi"/>
          <w:color w:val="000000" w:themeColor="text1"/>
          <w:sz w:val="22"/>
        </w:rPr>
        <w:t>brutto</w:t>
      </w:r>
      <w:r w:rsidR="00352B7D" w:rsidRPr="00BF547B">
        <w:rPr>
          <w:rFonts w:asciiTheme="minorHAnsi" w:hAnsiTheme="minorHAnsi" w:cstheme="minorHAnsi"/>
          <w:color w:val="000000" w:themeColor="text1"/>
          <w:sz w:val="22"/>
        </w:rPr>
        <w:t>.</w:t>
      </w:r>
    </w:p>
    <w:p w:rsidR="00352B7D" w:rsidRPr="00BF547B"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Ceny jednostkowe </w:t>
      </w:r>
      <w:r w:rsidR="000B1998" w:rsidRPr="00BF547B">
        <w:rPr>
          <w:rFonts w:asciiTheme="minorHAnsi" w:hAnsiTheme="minorHAnsi" w:cstheme="minorHAnsi"/>
          <w:color w:val="000000" w:themeColor="text1"/>
          <w:sz w:val="22"/>
        </w:rPr>
        <w:t xml:space="preserve">brutto </w:t>
      </w:r>
      <w:r w:rsidRPr="00BF547B">
        <w:rPr>
          <w:rFonts w:asciiTheme="minorHAnsi" w:hAnsiTheme="minorHAnsi" w:cstheme="minorHAnsi"/>
          <w:color w:val="000000" w:themeColor="text1"/>
          <w:sz w:val="22"/>
        </w:rPr>
        <w:t xml:space="preserve">za poszczególne </w:t>
      </w:r>
      <w:r w:rsidR="00352B7D" w:rsidRPr="00BF547B">
        <w:rPr>
          <w:rFonts w:asciiTheme="minorHAnsi" w:hAnsiTheme="minorHAnsi" w:cstheme="minorHAnsi"/>
          <w:color w:val="000000" w:themeColor="text1"/>
          <w:sz w:val="22"/>
        </w:rPr>
        <w:t>artykuły spożywcze są</w:t>
      </w:r>
      <w:r w:rsidRPr="00BF547B">
        <w:rPr>
          <w:rFonts w:asciiTheme="minorHAnsi" w:hAnsiTheme="minorHAnsi" w:cstheme="minorHAnsi"/>
          <w:color w:val="000000" w:themeColor="text1"/>
          <w:sz w:val="22"/>
        </w:rPr>
        <w:t xml:space="preserve">  cenami ryczałtowymi. Z uwagi na przyjętą formę wynagrodzenie – ryczał</w:t>
      </w:r>
      <w:r w:rsidR="00352B7D" w:rsidRPr="00BF547B">
        <w:rPr>
          <w:rFonts w:asciiTheme="minorHAnsi" w:hAnsiTheme="minorHAnsi" w:cstheme="minorHAnsi"/>
          <w:color w:val="000000" w:themeColor="text1"/>
          <w:sz w:val="22"/>
        </w:rPr>
        <w:t>t</w:t>
      </w:r>
      <w:r w:rsidRPr="00BF547B">
        <w:rPr>
          <w:rFonts w:asciiTheme="minorHAnsi" w:hAnsiTheme="minorHAnsi" w:cstheme="minorHAnsi"/>
          <w:color w:val="000000" w:themeColor="text1"/>
          <w:sz w:val="22"/>
        </w:rPr>
        <w:t xml:space="preserve">, ceny jednostkowe będą stałe i nie będą mogły się zmienić, za wyjątkiem przypadków opisanych w </w:t>
      </w:r>
      <w:r w:rsidR="00352B7D" w:rsidRPr="00BF547B">
        <w:rPr>
          <w:rFonts w:asciiTheme="minorHAnsi" w:hAnsiTheme="minorHAnsi" w:cstheme="minorHAnsi"/>
          <w:color w:val="000000" w:themeColor="text1"/>
          <w:sz w:val="22"/>
        </w:rPr>
        <w:t xml:space="preserve">niniejszej umowie. </w:t>
      </w:r>
    </w:p>
    <w:p w:rsidR="009C1E3D" w:rsidRPr="00BF547B"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Ceny jednostkowe ryczałtowe poszczególnych artykułów spożywczych obejmują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BF547B"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Dostawca realizując przedmiot umowy może zaoferować</w:t>
      </w:r>
      <w:r w:rsidR="00686084">
        <w:rPr>
          <w:rFonts w:asciiTheme="minorHAnsi" w:hAnsiTheme="minorHAnsi" w:cstheme="minorHAnsi"/>
          <w:color w:val="000000" w:themeColor="text1"/>
          <w:sz w:val="22"/>
        </w:rPr>
        <w:t xml:space="preserve"> Zamawiającemu dla dostaw</w:t>
      </w:r>
      <w:r w:rsidR="006305CF" w:rsidRPr="00BF547B">
        <w:rPr>
          <w:rFonts w:asciiTheme="minorHAnsi" w:hAnsiTheme="minorHAnsi" w:cstheme="minorHAnsi"/>
          <w:color w:val="000000" w:themeColor="text1"/>
          <w:sz w:val="22"/>
        </w:rPr>
        <w:t xml:space="preserve"> poszczególnych artykułów spożywczych </w:t>
      </w:r>
      <w:r w:rsidRPr="00BF547B">
        <w:rPr>
          <w:rFonts w:asciiTheme="minorHAnsi" w:hAnsiTheme="minorHAnsi" w:cstheme="minorHAnsi"/>
          <w:color w:val="000000" w:themeColor="text1"/>
          <w:sz w:val="22"/>
        </w:rPr>
        <w:t xml:space="preserve">ceny jednostkowe </w:t>
      </w:r>
      <w:r w:rsidR="006305CF" w:rsidRPr="00BF547B">
        <w:rPr>
          <w:rFonts w:asciiTheme="minorHAnsi" w:hAnsiTheme="minorHAnsi" w:cstheme="minorHAnsi"/>
          <w:color w:val="000000" w:themeColor="text1"/>
          <w:sz w:val="22"/>
        </w:rPr>
        <w:t>niższe niż wskazane w „Formularzu Wyc</w:t>
      </w:r>
      <w:r w:rsidR="004D0157">
        <w:rPr>
          <w:rFonts w:asciiTheme="minorHAnsi" w:hAnsiTheme="minorHAnsi" w:cstheme="minorHAnsi"/>
          <w:color w:val="000000" w:themeColor="text1"/>
          <w:sz w:val="22"/>
        </w:rPr>
        <w:t xml:space="preserve">eny”, o którym mowa w ust. 1 z </w:t>
      </w:r>
      <w:r w:rsidR="006305CF" w:rsidRPr="00BF547B">
        <w:rPr>
          <w:rFonts w:asciiTheme="minorHAnsi" w:hAnsiTheme="minorHAnsi" w:cstheme="minorHAnsi"/>
          <w:color w:val="000000" w:themeColor="text1"/>
          <w:sz w:val="22"/>
        </w:rPr>
        <w:t>uwagi np. na promocję. Powyższe zmiany cen jednostkowych nie wymagają sporządzenia aneksu do umowy.</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Dostawca oświadcza, że jest podatnikiem podatku VAT, uprawnionym do wystawienia faktury VAT. Numer NIP Dostawcy: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Rozliczanie za wykonanie przedmiotu umowy,</w:t>
      </w:r>
      <w:r w:rsidR="000B1998" w:rsidRPr="00BF547B">
        <w:rPr>
          <w:rFonts w:asciiTheme="minorHAnsi" w:hAnsiTheme="minorHAnsi" w:cstheme="minorHAnsi"/>
          <w:color w:val="000000" w:themeColor="text1"/>
          <w:sz w:val="22"/>
        </w:rPr>
        <w:t xml:space="preserve"> następować będzie </w:t>
      </w:r>
      <w:r w:rsidRPr="00BF547B">
        <w:rPr>
          <w:rFonts w:asciiTheme="minorHAnsi" w:hAnsiTheme="minorHAnsi" w:cstheme="minorHAnsi"/>
          <w:color w:val="000000" w:themeColor="text1"/>
          <w:sz w:val="22"/>
        </w:rPr>
        <w:t>fakturami częściowymi</w:t>
      </w:r>
      <w:r w:rsidR="000B1998" w:rsidRPr="00BF547B">
        <w:rPr>
          <w:rFonts w:asciiTheme="minorHAnsi" w:hAnsiTheme="minorHAnsi" w:cstheme="minorHAnsi"/>
          <w:color w:val="000000" w:themeColor="text1"/>
          <w:sz w:val="22"/>
        </w:rPr>
        <w:t xml:space="preserve"> </w:t>
      </w:r>
      <w:r w:rsidR="00531CBB" w:rsidRPr="00BF547B">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BF547B">
        <w:rPr>
          <w:rFonts w:asciiTheme="minorHAnsi" w:hAnsiTheme="minorHAnsi" w:cstheme="minorHAnsi"/>
          <w:color w:val="000000" w:themeColor="text1"/>
          <w:sz w:val="22"/>
        </w:rPr>
        <w:t>ilości artykułów spożywczych</w:t>
      </w:r>
      <w:r w:rsidR="00531CBB" w:rsidRPr="00BF547B">
        <w:rPr>
          <w:rFonts w:asciiTheme="minorHAnsi" w:hAnsiTheme="minorHAnsi" w:cstheme="minorHAnsi"/>
          <w:color w:val="000000" w:themeColor="text1"/>
          <w:sz w:val="22"/>
        </w:rPr>
        <w:t>.</w:t>
      </w:r>
    </w:p>
    <w:p w:rsidR="00D573C4" w:rsidRPr="00BF547B"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Podstawę </w:t>
      </w:r>
      <w:r w:rsidR="00D573C4" w:rsidRPr="00BF547B">
        <w:rPr>
          <w:rFonts w:asciiTheme="minorHAnsi" w:hAnsiTheme="minorHAnsi" w:cstheme="minorHAnsi"/>
          <w:color w:val="000000" w:themeColor="text1"/>
          <w:sz w:val="22"/>
        </w:rPr>
        <w:t xml:space="preserve">wystawienia faktur częściowych za wykonanie przedmiotu umowy stanowić będą protokoły odbioru częściowego przedmiotu umowy ( np. </w:t>
      </w:r>
      <w:r w:rsidR="00D01CFE" w:rsidRPr="00BF547B">
        <w:rPr>
          <w:rFonts w:asciiTheme="minorHAnsi" w:hAnsiTheme="minorHAnsi" w:cstheme="minorHAnsi"/>
          <w:color w:val="000000" w:themeColor="text1"/>
          <w:sz w:val="22"/>
        </w:rPr>
        <w:t xml:space="preserve">dokument </w:t>
      </w:r>
      <w:r w:rsidR="00D573C4" w:rsidRPr="00BF547B">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766DB3" w:rsidRDefault="00803DC5" w:rsidP="00803DC5">
      <w:pPr>
        <w:numPr>
          <w:ilvl w:val="0"/>
          <w:numId w:val="2"/>
        </w:numPr>
        <w:spacing w:line="240" w:lineRule="auto"/>
        <w:jc w:val="both"/>
        <w:rPr>
          <w:rFonts w:ascii="Calibri" w:hAnsi="Calibri" w:cs="Calibri"/>
          <w:color w:val="000000" w:themeColor="text1"/>
          <w:sz w:val="22"/>
        </w:rPr>
      </w:pPr>
      <w:r w:rsidRPr="00766DB3">
        <w:rPr>
          <w:rFonts w:ascii="Calibri" w:hAnsi="Calibri" w:cs="Calibri"/>
          <w:b/>
          <w:bCs/>
          <w:color w:val="000000" w:themeColor="text1"/>
          <w:sz w:val="22"/>
        </w:rPr>
        <w:t xml:space="preserve">Zamawiający dopuszcza zmianę wysokości wynagrodzenia </w:t>
      </w:r>
      <w:r w:rsidR="0005039D" w:rsidRPr="00766DB3">
        <w:rPr>
          <w:rFonts w:ascii="Calibri" w:hAnsi="Calibri" w:cs="Calibri"/>
          <w:b/>
          <w:bCs/>
          <w:color w:val="000000" w:themeColor="text1"/>
          <w:sz w:val="22"/>
        </w:rPr>
        <w:t>Dostawcy</w:t>
      </w:r>
      <w:r w:rsidRPr="00766DB3">
        <w:rPr>
          <w:rFonts w:ascii="Calibri" w:hAnsi="Calibri" w:cs="Calibri"/>
          <w:b/>
          <w:bCs/>
          <w:color w:val="000000" w:themeColor="text1"/>
          <w:sz w:val="22"/>
        </w:rPr>
        <w:t xml:space="preserve"> w przypadku zmiany stawki podatku od towarów i usług</w:t>
      </w:r>
      <w:r w:rsidR="0005039D" w:rsidRPr="00766DB3">
        <w:rPr>
          <w:rFonts w:ascii="Calibri" w:hAnsi="Calibri" w:cs="Calibri"/>
          <w:b/>
          <w:bCs/>
          <w:color w:val="000000" w:themeColor="text1"/>
          <w:sz w:val="22"/>
        </w:rPr>
        <w:t xml:space="preserve">. </w:t>
      </w:r>
      <w:r w:rsidRPr="00766DB3">
        <w:rPr>
          <w:rFonts w:ascii="Calibri" w:hAnsi="Calibri" w:cs="Calibri"/>
          <w:color w:val="000000" w:themeColor="text1"/>
          <w:sz w:val="22"/>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766DB3">
        <w:rPr>
          <w:rFonts w:ascii="Calibri" w:hAnsi="Calibri" w:cs="Calibri"/>
          <w:color w:val="000000" w:themeColor="text1"/>
          <w:sz w:val="22"/>
        </w:rPr>
        <w:t xml:space="preserve">, po dniu </w:t>
      </w:r>
      <w:r w:rsidRPr="00766DB3">
        <w:rPr>
          <w:rFonts w:ascii="Calibri" w:hAnsi="Calibri" w:cs="Calibri"/>
          <w:color w:val="000000" w:themeColor="text1"/>
          <w:sz w:val="22"/>
        </w:rPr>
        <w:t xml:space="preserve">wejścia w życie przepisów zmieniających lub wprowadzających oraz do części przedmiotu umowy, do której zastosowanie znajdzie zmiana stawki podatku od towarów i usług. </w:t>
      </w:r>
      <w:bookmarkStart w:id="0" w:name="_Hlk126063939"/>
      <w:r w:rsidRPr="00766DB3">
        <w:rPr>
          <w:rFonts w:ascii="Calibri" w:hAnsi="Calibri" w:cs="Calibri"/>
          <w:color w:val="000000" w:themeColor="text1"/>
          <w:sz w:val="22"/>
        </w:rPr>
        <w:t xml:space="preserve">W takim przypadku </w:t>
      </w:r>
      <w:r w:rsidR="0005039D" w:rsidRPr="00766DB3">
        <w:rPr>
          <w:rFonts w:ascii="Calibri" w:hAnsi="Calibri" w:cs="Calibri"/>
          <w:color w:val="000000" w:themeColor="text1"/>
          <w:sz w:val="22"/>
        </w:rPr>
        <w:t xml:space="preserve">Dostawca </w:t>
      </w:r>
      <w:r w:rsidRPr="00766DB3">
        <w:rPr>
          <w:rFonts w:ascii="Calibri" w:hAnsi="Calibri" w:cs="Calibri"/>
          <w:color w:val="000000" w:themeColor="text1"/>
          <w:sz w:val="22"/>
        </w:rPr>
        <w:t xml:space="preserve"> zwróci się do Zamawiającego  z wnioskiem o dokonanie odpowiedniej zmiany wynagrodzenia – wskaże podstawę dokonania zmiany, kwotę, o którą wynagrodzenie </w:t>
      </w:r>
      <w:r w:rsidR="0005039D" w:rsidRPr="00766DB3">
        <w:rPr>
          <w:rFonts w:ascii="Calibri" w:hAnsi="Calibri" w:cs="Calibri"/>
          <w:color w:val="000000" w:themeColor="text1"/>
          <w:sz w:val="22"/>
        </w:rPr>
        <w:t xml:space="preserve">Dostawcy </w:t>
      </w:r>
      <w:r w:rsidRPr="00766DB3">
        <w:rPr>
          <w:rFonts w:ascii="Calibri" w:hAnsi="Calibri" w:cs="Calibri"/>
          <w:color w:val="000000" w:themeColor="text1"/>
          <w:sz w:val="22"/>
        </w:rPr>
        <w:t xml:space="preserve">ma ulec zmianie, wraz z wyliczeniem całkowitej kwoty. Zmiana wynagrodzenia może nastąpić wyłącznie jeżeli zmiany te będą miały wpływ na koszty wykonania zamówienia przez </w:t>
      </w:r>
      <w:r w:rsidR="0005039D" w:rsidRPr="00766DB3">
        <w:rPr>
          <w:rFonts w:ascii="Calibri" w:hAnsi="Calibri" w:cs="Calibri"/>
          <w:color w:val="000000" w:themeColor="text1"/>
          <w:sz w:val="22"/>
        </w:rPr>
        <w:t>Dostawcę.</w:t>
      </w:r>
      <w:r w:rsidRPr="00766DB3">
        <w:rPr>
          <w:rFonts w:ascii="Calibri" w:hAnsi="Calibri" w:cs="Calibri"/>
          <w:color w:val="000000" w:themeColor="text1"/>
          <w:sz w:val="22"/>
        </w:rPr>
        <w:t xml:space="preserve"> Ciężar dowodu w tym zakresie obciąża </w:t>
      </w:r>
      <w:r w:rsidR="0005039D" w:rsidRPr="00766DB3">
        <w:rPr>
          <w:rFonts w:ascii="Calibri" w:hAnsi="Calibri" w:cs="Calibri"/>
          <w:color w:val="000000" w:themeColor="text1"/>
          <w:sz w:val="22"/>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766DB3" w:rsidRDefault="0011239E" w:rsidP="0011239E">
      <w:pPr>
        <w:pStyle w:val="Akapitzlist"/>
        <w:numPr>
          <w:ilvl w:val="0"/>
          <w:numId w:val="7"/>
        </w:numPr>
        <w:spacing w:line="240" w:lineRule="auto"/>
        <w:jc w:val="both"/>
        <w:rPr>
          <w:rFonts w:ascii="Calibri" w:hAnsi="Calibri" w:cs="Calibri"/>
          <w:color w:val="000000" w:themeColor="text1"/>
          <w:sz w:val="22"/>
        </w:rPr>
      </w:pPr>
      <w:r w:rsidRPr="00766DB3">
        <w:rPr>
          <w:rFonts w:ascii="Calibri" w:hAnsi="Calibri" w:cs="Calibri"/>
          <w:b/>
          <w:bCs/>
          <w:color w:val="000000" w:themeColor="text1"/>
          <w:sz w:val="22"/>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766DB3">
        <w:rPr>
          <w:rFonts w:ascii="Calibri" w:hAnsi="Calibri" w:cs="Calibri"/>
          <w:b/>
          <w:bCs/>
          <w:color w:val="000000" w:themeColor="text1"/>
          <w:sz w:val="22"/>
        </w:rPr>
        <w:t>Pzp</w:t>
      </w:r>
      <w:proofErr w:type="spellEnd"/>
      <w:r w:rsidRPr="00766DB3">
        <w:rPr>
          <w:rFonts w:ascii="Calibri" w:hAnsi="Calibri" w:cs="Calibri"/>
          <w:bCs/>
          <w:color w:val="000000" w:themeColor="text1"/>
          <w:sz w:val="22"/>
        </w:rPr>
        <w:t>.</w:t>
      </w:r>
      <w:r w:rsidRPr="00766DB3">
        <w:rPr>
          <w:rFonts w:ascii="Calibri" w:hAnsi="Calibri" w:cs="Calibri"/>
          <w:color w:val="000000" w:themeColor="text1"/>
          <w:sz w:val="22"/>
        </w:rPr>
        <w:t xml:space="preserve"> Przez zmianę ceny materiałów lub kosztów rozumie się wzrost odpowiednio cen lub kosztów, jak i ich obniżenie, względem ceny lub kosztu przyjętych w celu ustalenia wynagrodzenia </w:t>
      </w:r>
      <w:r w:rsidR="004056F1" w:rsidRPr="00766DB3">
        <w:rPr>
          <w:rFonts w:ascii="Calibri" w:hAnsi="Calibri" w:cs="Calibri"/>
          <w:color w:val="000000" w:themeColor="text1"/>
          <w:sz w:val="22"/>
        </w:rPr>
        <w:t>Dost</w:t>
      </w:r>
      <w:r w:rsidRPr="00766DB3">
        <w:rPr>
          <w:rFonts w:ascii="Calibri" w:hAnsi="Calibri" w:cs="Calibri"/>
          <w:color w:val="000000" w:themeColor="text1"/>
          <w:sz w:val="22"/>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Wynagrodzenie będzie podlegało waloryzacji najwcześniej</w:t>
      </w:r>
      <w:r w:rsidRPr="00BF547B">
        <w:rPr>
          <w:rFonts w:asciiTheme="minorHAnsi" w:hAnsiTheme="minorHAnsi" w:cstheme="minorHAnsi"/>
          <w:color w:val="000000" w:themeColor="text1"/>
          <w:sz w:val="22"/>
        </w:rPr>
        <w:t xml:space="preserve"> po </w:t>
      </w:r>
      <w:r w:rsidR="008E116F">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8E116F">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766DB3" w:rsidRDefault="0011239E" w:rsidP="0011239E">
      <w:pPr>
        <w:pStyle w:val="Akapitzlist"/>
        <w:numPr>
          <w:ilvl w:val="0"/>
          <w:numId w:val="7"/>
        </w:numPr>
        <w:spacing w:line="240" w:lineRule="auto"/>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 xml:space="preserve">Waloryzacja będzie się odbywać w oparciu „Wskaźnik waloryzacji” wyliczony jako iloczyn sumy kolejnych miesięcznych wskaźników </w:t>
      </w:r>
      <w:r w:rsidRPr="00BF547B">
        <w:rPr>
          <w:rFonts w:asciiTheme="minorHAnsi" w:hAnsiTheme="minorHAnsi" w:cstheme="minorHAnsi"/>
          <w:color w:val="000000" w:themeColor="text1"/>
          <w:sz w:val="22"/>
        </w:rPr>
        <w:t>cen towarów i usług konsumpcyjnych</w:t>
      </w:r>
      <w:r w:rsidRPr="00766DB3">
        <w:rPr>
          <w:rFonts w:asciiTheme="minorHAnsi" w:hAnsiTheme="minorHAnsi" w:cstheme="minorHAnsi"/>
          <w:color w:val="000000" w:themeColor="text1"/>
          <w:sz w:val="22"/>
        </w:rPr>
        <w:t xml:space="preserve"> (opublikowanych przez Prezesa Głównego Urzędu Statystycznego w Biuletynie Statystycznym GUS) poprzedzających termin waloryzacji i wagi 50%</w:t>
      </w:r>
    </w:p>
    <w:p w:rsidR="0011239E" w:rsidRPr="00766DB3" w:rsidRDefault="0011239E" w:rsidP="0011239E">
      <w:pPr>
        <w:pStyle w:val="Akapitzlist"/>
        <w:spacing w:line="240" w:lineRule="auto"/>
        <w:ind w:left="360"/>
        <w:jc w:val="both"/>
        <w:rPr>
          <w:rFonts w:asciiTheme="minorHAnsi" w:hAnsiTheme="minorHAnsi" w:cstheme="minorHAnsi"/>
          <w:color w:val="000000" w:themeColor="text1"/>
          <w:sz w:val="22"/>
        </w:rPr>
      </w:pPr>
    </w:p>
    <w:p w:rsidR="0011239E" w:rsidRPr="00766DB3" w:rsidRDefault="0011239E" w:rsidP="0011239E">
      <w:pPr>
        <w:pStyle w:val="Akapitzlist"/>
        <w:spacing w:line="240" w:lineRule="auto"/>
        <w:ind w:left="993" w:hanging="567"/>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Wskaźnik waloryzacji = (Wm1 + Wm2 + Wm3 + ………….) x 50%</w:t>
      </w:r>
    </w:p>
    <w:p w:rsidR="0011239E" w:rsidRPr="00766DB3" w:rsidRDefault="0011239E" w:rsidP="0011239E">
      <w:pPr>
        <w:pStyle w:val="Akapitzlist"/>
        <w:spacing w:line="240" w:lineRule="auto"/>
        <w:ind w:left="993" w:hanging="567"/>
        <w:jc w:val="both"/>
        <w:rPr>
          <w:rFonts w:asciiTheme="minorHAnsi" w:hAnsiTheme="minorHAnsi" w:cstheme="minorHAnsi"/>
          <w:color w:val="000000" w:themeColor="text1"/>
          <w:sz w:val="22"/>
        </w:rPr>
      </w:pPr>
    </w:p>
    <w:p w:rsidR="0011239E" w:rsidRPr="00766DB3" w:rsidRDefault="0011239E" w:rsidP="0011239E">
      <w:pPr>
        <w:pStyle w:val="Akapitzlist"/>
        <w:spacing w:line="240" w:lineRule="auto"/>
        <w:ind w:left="993" w:hanging="567"/>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gdzie:</w:t>
      </w:r>
    </w:p>
    <w:p w:rsidR="0011239E" w:rsidRPr="00766DB3" w:rsidRDefault="0011239E" w:rsidP="0011239E">
      <w:pPr>
        <w:pStyle w:val="Akapitzlist"/>
        <w:spacing w:line="240" w:lineRule="auto"/>
        <w:ind w:left="993" w:hanging="567"/>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766DB3" w:rsidRDefault="0011239E" w:rsidP="0011239E">
      <w:pPr>
        <w:pStyle w:val="Akapitzlist"/>
        <w:spacing w:line="240" w:lineRule="auto"/>
        <w:ind w:left="993" w:hanging="567"/>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50 % - waga</w:t>
      </w:r>
    </w:p>
    <w:p w:rsidR="0011239E" w:rsidRPr="00766DB3" w:rsidRDefault="0011239E" w:rsidP="0011239E">
      <w:pPr>
        <w:pStyle w:val="Tekstpodstawowy"/>
        <w:suppressAutoHyphens/>
        <w:spacing w:after="0" w:line="240" w:lineRule="auto"/>
        <w:ind w:left="426"/>
        <w:jc w:val="both"/>
        <w:rPr>
          <w:rFonts w:asciiTheme="minorHAnsi" w:hAnsiTheme="minorHAnsi" w:cstheme="minorHAnsi"/>
          <w:color w:val="000000" w:themeColor="text1"/>
          <w:sz w:val="22"/>
        </w:rPr>
      </w:pPr>
    </w:p>
    <w:p w:rsidR="0011239E" w:rsidRPr="00766DB3"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Zmiana wynagrodzenia wyliczona zostanie jako iloczyn Wskaźnika waloryzacji i wartości niezrealizowanych dostaw.</w:t>
      </w:r>
    </w:p>
    <w:p w:rsidR="00DC0DDD" w:rsidRPr="00766DB3" w:rsidRDefault="00DC0DDD" w:rsidP="004056F1">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 xml:space="preserve">Łączna wartość korekt wynikająca z waloryzacji nie </w:t>
      </w:r>
      <w:r w:rsidR="00803DC5" w:rsidRPr="00766DB3">
        <w:rPr>
          <w:rFonts w:asciiTheme="minorHAnsi" w:hAnsiTheme="minorHAnsi" w:cstheme="minorHAnsi"/>
          <w:color w:val="000000" w:themeColor="text1"/>
          <w:sz w:val="22"/>
        </w:rPr>
        <w:t xml:space="preserve">może </w:t>
      </w:r>
      <w:r w:rsidRPr="00766DB3">
        <w:rPr>
          <w:rFonts w:asciiTheme="minorHAnsi" w:hAnsiTheme="minorHAnsi" w:cstheme="minorHAnsi"/>
          <w:color w:val="000000" w:themeColor="text1"/>
          <w:sz w:val="22"/>
        </w:rPr>
        <w:t>przekroczy</w:t>
      </w:r>
      <w:r w:rsidR="00803DC5" w:rsidRPr="00766DB3">
        <w:rPr>
          <w:rFonts w:asciiTheme="minorHAnsi" w:hAnsiTheme="minorHAnsi" w:cstheme="minorHAnsi"/>
          <w:color w:val="000000" w:themeColor="text1"/>
          <w:sz w:val="22"/>
        </w:rPr>
        <w:t>ć</w:t>
      </w:r>
      <w:r w:rsidRPr="00766DB3">
        <w:rPr>
          <w:rFonts w:asciiTheme="minorHAnsi" w:hAnsiTheme="minorHAnsi" w:cstheme="minorHAnsi"/>
          <w:color w:val="000000" w:themeColor="text1"/>
          <w:sz w:val="22"/>
        </w:rPr>
        <w:t xml:space="preserve"> 10% pierwotnego wy</w:t>
      </w:r>
      <w:r w:rsidR="009A135E" w:rsidRPr="00766DB3">
        <w:rPr>
          <w:rFonts w:asciiTheme="minorHAnsi" w:hAnsiTheme="minorHAnsi" w:cstheme="minorHAnsi"/>
          <w:color w:val="000000" w:themeColor="text1"/>
          <w:sz w:val="22"/>
        </w:rPr>
        <w:t>nagrodzenia, o którym mowa w § 3</w:t>
      </w:r>
      <w:r w:rsidRPr="00766DB3">
        <w:rPr>
          <w:rFonts w:asciiTheme="minorHAnsi" w:hAnsiTheme="minorHAnsi" w:cstheme="minorHAnsi"/>
          <w:color w:val="000000" w:themeColor="text1"/>
          <w:sz w:val="22"/>
        </w:rPr>
        <w:t xml:space="preserve"> ust. 1 Umowy. Przez łączną wartość korekt należy rozumieć wartość wzrostu lub </w:t>
      </w:r>
      <w:r w:rsidR="00803DC5" w:rsidRPr="00766DB3">
        <w:rPr>
          <w:rFonts w:asciiTheme="minorHAnsi" w:hAnsiTheme="minorHAnsi" w:cstheme="minorHAnsi"/>
          <w:color w:val="000000" w:themeColor="text1"/>
          <w:sz w:val="22"/>
        </w:rPr>
        <w:t xml:space="preserve">wartość </w:t>
      </w:r>
      <w:r w:rsidRPr="00766DB3">
        <w:rPr>
          <w:rFonts w:asciiTheme="minorHAnsi" w:hAnsiTheme="minorHAnsi" w:cstheme="minorHAnsi"/>
          <w:color w:val="000000" w:themeColor="text1"/>
          <w:sz w:val="22"/>
        </w:rPr>
        <w:t xml:space="preserve">spadku wynagrodzenia </w:t>
      </w:r>
      <w:r w:rsidR="00803DC5" w:rsidRPr="00766DB3">
        <w:rPr>
          <w:rFonts w:asciiTheme="minorHAnsi" w:hAnsiTheme="minorHAnsi" w:cstheme="minorHAnsi"/>
          <w:color w:val="000000" w:themeColor="text1"/>
          <w:sz w:val="22"/>
        </w:rPr>
        <w:t>Dostawcy w</w:t>
      </w:r>
      <w:r w:rsidRPr="00766DB3">
        <w:rPr>
          <w:rFonts w:asciiTheme="minorHAnsi" w:hAnsiTheme="minorHAnsi" w:cstheme="minorHAnsi"/>
          <w:color w:val="000000" w:themeColor="text1"/>
          <w:sz w:val="22"/>
        </w:rPr>
        <w:t>ynikającą z waloryzacji.</w:t>
      </w:r>
    </w:p>
    <w:p w:rsidR="00803DC5" w:rsidRPr="00766DB3" w:rsidRDefault="00803DC5" w:rsidP="004056F1">
      <w:pPr>
        <w:pStyle w:val="Akapitzlist"/>
        <w:numPr>
          <w:ilvl w:val="0"/>
          <w:numId w:val="7"/>
        </w:numPr>
        <w:spacing w:after="160" w:line="259" w:lineRule="auto"/>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lastRenderedPageBreak/>
        <w:t>Dostawca</w:t>
      </w:r>
      <w:r w:rsidR="00DC0DDD" w:rsidRPr="00766DB3">
        <w:rPr>
          <w:rFonts w:asciiTheme="minorHAnsi" w:hAnsiTheme="minorHAnsi" w:cstheme="minorHAnsi"/>
          <w:color w:val="000000" w:themeColor="text1"/>
          <w:sz w:val="22"/>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766DB3">
        <w:rPr>
          <w:rFonts w:asciiTheme="minorHAnsi" w:hAnsiTheme="minorHAnsi" w:cstheme="minorHAnsi"/>
          <w:color w:val="000000" w:themeColor="text1"/>
          <w:sz w:val="22"/>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766DB3">
        <w:rPr>
          <w:rFonts w:asciiTheme="minorHAnsi" w:hAnsiTheme="minorHAnsi" w:cstheme="minorHAnsi"/>
          <w:color w:val="000000" w:themeColor="text1"/>
          <w:sz w:val="22"/>
        </w:rPr>
        <w:t xml:space="preserve"> </w:t>
      </w:r>
      <w:r w:rsidR="00635667" w:rsidRPr="00766DB3">
        <w:rPr>
          <w:rFonts w:asciiTheme="minorHAnsi" w:hAnsiTheme="minorHAnsi" w:cstheme="minorHAnsi"/>
          <w:color w:val="000000" w:themeColor="text1"/>
          <w:sz w:val="22"/>
        </w:rPr>
        <w:t>Waloryzacja zostaje obliczona na dzień złożenia wniosku przez Dostawcę z zastrzeżeniem u</w:t>
      </w:r>
      <w:r w:rsidR="00A36F43">
        <w:rPr>
          <w:rFonts w:asciiTheme="minorHAnsi" w:hAnsiTheme="minorHAnsi" w:cstheme="minorHAnsi"/>
          <w:color w:val="000000" w:themeColor="text1"/>
          <w:sz w:val="22"/>
        </w:rPr>
        <w:t>st. 2 umowy.</w:t>
      </w:r>
    </w:p>
    <w:p w:rsidR="009A135E" w:rsidRPr="00766DB3" w:rsidRDefault="009A135E" w:rsidP="00160E7A">
      <w:pPr>
        <w:spacing w:line="240" w:lineRule="auto"/>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4D0157">
        <w:rPr>
          <w:rFonts w:asciiTheme="minorHAnsi" w:hAnsiTheme="minorHAnsi" w:cstheme="minorHAnsi"/>
          <w:color w:val="000000" w:themeColor="text1"/>
          <w:sz w:val="22"/>
        </w:rPr>
        <w:t>przedmiotu zgłoszenia (towaru)</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w:t>
      </w:r>
      <w:r w:rsidRPr="00BF547B">
        <w:rPr>
          <w:rFonts w:asciiTheme="minorHAnsi" w:hAnsiTheme="minorHAnsi" w:cstheme="minorHAnsi"/>
          <w:color w:val="000000"/>
          <w:sz w:val="22"/>
        </w:rPr>
        <w:lastRenderedPageBreak/>
        <w:t xml:space="preserve">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Default="00F25B9E" w:rsidP="004D0157">
      <w:pPr>
        <w:pStyle w:val="Akapitzlist"/>
        <w:numPr>
          <w:ilvl w:val="0"/>
          <w:numId w:val="21"/>
        </w:numPr>
        <w:spacing w:line="240" w:lineRule="auto"/>
        <w:jc w:val="both"/>
        <w:rPr>
          <w:rFonts w:asciiTheme="minorHAnsi" w:hAnsiTheme="minorHAnsi" w:cstheme="minorHAnsi"/>
          <w:color w:val="000000"/>
          <w:sz w:val="22"/>
        </w:rPr>
      </w:pPr>
      <w:r w:rsidRPr="00BF547B">
        <w:rPr>
          <w:rFonts w:asciiTheme="minorHAnsi" w:hAnsiTheme="minorHAnsi" w:cstheme="minorHAnsi"/>
          <w:color w:val="000000"/>
          <w:sz w:val="22"/>
        </w:rPr>
        <w:t>za odstąpienie od umowy przez Zamawiającego lub Dostawcę z przyczyn, za które ponosi odpowiedzialność Dostawca w wysokości 10% wynagrodzenia za przedmiot umow</w:t>
      </w:r>
      <w:r w:rsidR="004D0157">
        <w:rPr>
          <w:rFonts w:asciiTheme="minorHAnsi" w:hAnsiTheme="minorHAnsi" w:cstheme="minorHAnsi"/>
          <w:color w:val="000000"/>
          <w:sz w:val="22"/>
        </w:rPr>
        <w:t>y, o którym mowa w § 3 w ust. 1,</w:t>
      </w:r>
    </w:p>
    <w:p w:rsidR="00F25B9E" w:rsidRDefault="001A6B1F" w:rsidP="004D0157">
      <w:pPr>
        <w:pStyle w:val="Akapitzlist"/>
        <w:numPr>
          <w:ilvl w:val="0"/>
          <w:numId w:val="21"/>
        </w:numPr>
        <w:spacing w:line="240" w:lineRule="auto"/>
        <w:jc w:val="both"/>
        <w:rPr>
          <w:rFonts w:asciiTheme="minorHAnsi" w:hAnsiTheme="minorHAnsi" w:cstheme="minorHAnsi"/>
          <w:color w:val="000000"/>
          <w:sz w:val="22"/>
        </w:rPr>
      </w:pPr>
      <w:r w:rsidRPr="004D0157">
        <w:rPr>
          <w:rFonts w:asciiTheme="minorHAnsi" w:hAnsiTheme="minorHAnsi" w:cstheme="minorHAnsi"/>
          <w:color w:val="000000"/>
          <w:sz w:val="22"/>
        </w:rPr>
        <w:t xml:space="preserve">za zwłokę w realizacji dostawy (przedmiotu zgłoszenia) </w:t>
      </w:r>
      <w:r w:rsidR="00950681" w:rsidRPr="004D0157">
        <w:rPr>
          <w:rFonts w:asciiTheme="minorHAnsi" w:hAnsiTheme="minorHAnsi" w:cstheme="minorHAnsi"/>
          <w:color w:val="000000"/>
          <w:sz w:val="22"/>
        </w:rPr>
        <w:t>w wysokości 0,5</w:t>
      </w:r>
      <w:r w:rsidRPr="004D0157">
        <w:rPr>
          <w:rFonts w:asciiTheme="minorHAnsi" w:hAnsiTheme="minorHAnsi" w:cstheme="minorHAnsi"/>
          <w:color w:val="000000"/>
          <w:sz w:val="22"/>
        </w:rPr>
        <w:t xml:space="preserve">% wartości brutto  </w:t>
      </w:r>
      <w:r w:rsidRPr="004D0157">
        <w:rPr>
          <w:rFonts w:asciiTheme="minorHAnsi" w:hAnsiTheme="minorHAnsi" w:cstheme="minorHAnsi"/>
          <w:color w:val="000000" w:themeColor="text1"/>
          <w:sz w:val="22"/>
        </w:rPr>
        <w:t xml:space="preserve">przedmiotu zgłoszenia </w:t>
      </w:r>
      <w:r w:rsidRPr="004D0157">
        <w:rPr>
          <w:rFonts w:asciiTheme="minorHAnsi" w:hAnsiTheme="minorHAnsi" w:cstheme="minorHAnsi"/>
          <w:color w:val="000000"/>
          <w:sz w:val="22"/>
        </w:rPr>
        <w:t xml:space="preserve">za każdą rozpoczętą godzinę zwłoki w stosunku do zobowiązań określonych § 2 ust. </w:t>
      </w:r>
      <w:r w:rsidR="00112A5D" w:rsidRPr="004D0157">
        <w:rPr>
          <w:rFonts w:asciiTheme="minorHAnsi" w:hAnsiTheme="minorHAnsi" w:cstheme="minorHAnsi"/>
          <w:color w:val="000000"/>
          <w:sz w:val="22"/>
        </w:rPr>
        <w:t>3</w:t>
      </w:r>
      <w:r w:rsidR="004D0157">
        <w:rPr>
          <w:rFonts w:asciiTheme="minorHAnsi" w:hAnsiTheme="minorHAnsi" w:cstheme="minorHAnsi"/>
          <w:color w:val="000000"/>
          <w:sz w:val="22"/>
        </w:rPr>
        <w:t>;</w:t>
      </w:r>
    </w:p>
    <w:p w:rsidR="00F25B9E" w:rsidRDefault="00112A5D" w:rsidP="004D0157">
      <w:pPr>
        <w:pStyle w:val="Akapitzlist"/>
        <w:numPr>
          <w:ilvl w:val="0"/>
          <w:numId w:val="21"/>
        </w:numPr>
        <w:spacing w:line="240" w:lineRule="auto"/>
        <w:jc w:val="both"/>
        <w:rPr>
          <w:rFonts w:asciiTheme="minorHAnsi" w:hAnsiTheme="minorHAnsi" w:cstheme="minorHAnsi"/>
          <w:color w:val="000000"/>
          <w:sz w:val="22"/>
        </w:rPr>
      </w:pPr>
      <w:r w:rsidRPr="004D0157">
        <w:rPr>
          <w:rFonts w:asciiTheme="minorHAnsi" w:hAnsiTheme="minorHAnsi" w:cstheme="minorHAnsi"/>
          <w:color w:val="000000"/>
          <w:sz w:val="22"/>
        </w:rPr>
        <w:t xml:space="preserve">za brak ilościowy w stosunku do przedmiotu zgłoszenia </w:t>
      </w:r>
      <w:r w:rsidR="00950681" w:rsidRPr="004D0157">
        <w:rPr>
          <w:rFonts w:asciiTheme="minorHAnsi" w:hAnsiTheme="minorHAnsi" w:cstheme="minorHAnsi"/>
          <w:color w:val="000000"/>
          <w:sz w:val="22"/>
        </w:rPr>
        <w:t>w wysokości 1</w:t>
      </w:r>
      <w:r w:rsidR="00F25B9E" w:rsidRPr="004D0157">
        <w:rPr>
          <w:rFonts w:asciiTheme="minorHAnsi" w:hAnsiTheme="minorHAnsi" w:cstheme="minorHAnsi"/>
          <w:color w:val="000000"/>
          <w:sz w:val="22"/>
        </w:rPr>
        <w:t xml:space="preserve">% wartości brutto  </w:t>
      </w:r>
      <w:r w:rsidRPr="004D0157">
        <w:rPr>
          <w:rFonts w:asciiTheme="minorHAnsi" w:hAnsiTheme="minorHAnsi" w:cstheme="minorHAnsi"/>
          <w:color w:val="000000"/>
          <w:sz w:val="22"/>
        </w:rPr>
        <w:t>przedmiotu zgłoszenia</w:t>
      </w:r>
      <w:r w:rsidR="00F25B9E" w:rsidRPr="004D0157">
        <w:rPr>
          <w:rFonts w:asciiTheme="minorHAnsi" w:hAnsiTheme="minorHAnsi" w:cstheme="minorHAnsi"/>
          <w:color w:val="000000"/>
          <w:sz w:val="22"/>
        </w:rPr>
        <w:t>, za każdą rozpoczętą godzinę zwłoki w stosunku do z</w:t>
      </w:r>
      <w:r w:rsidRPr="004D0157">
        <w:rPr>
          <w:rFonts w:asciiTheme="minorHAnsi" w:hAnsiTheme="minorHAnsi" w:cstheme="minorHAnsi"/>
          <w:color w:val="000000"/>
          <w:sz w:val="22"/>
        </w:rPr>
        <w:t>obowiązań określonych § 2 ust. 3</w:t>
      </w:r>
      <w:r w:rsidR="00F25B9E" w:rsidRPr="004D0157">
        <w:rPr>
          <w:rFonts w:asciiTheme="minorHAnsi" w:hAnsiTheme="minorHAnsi" w:cstheme="minorHAnsi"/>
          <w:color w:val="000000"/>
          <w:sz w:val="22"/>
        </w:rPr>
        <w:t xml:space="preserve">; </w:t>
      </w:r>
    </w:p>
    <w:p w:rsidR="00F25B9E" w:rsidRPr="004D0157" w:rsidRDefault="00112A5D" w:rsidP="004D0157">
      <w:pPr>
        <w:pStyle w:val="Akapitzlist"/>
        <w:numPr>
          <w:ilvl w:val="0"/>
          <w:numId w:val="21"/>
        </w:numPr>
        <w:spacing w:line="240" w:lineRule="auto"/>
        <w:jc w:val="both"/>
        <w:rPr>
          <w:rFonts w:asciiTheme="minorHAnsi" w:hAnsiTheme="minorHAnsi" w:cstheme="minorHAnsi"/>
          <w:color w:val="000000"/>
          <w:sz w:val="22"/>
        </w:rPr>
      </w:pPr>
      <w:r w:rsidRPr="004D0157">
        <w:rPr>
          <w:rFonts w:asciiTheme="minorHAnsi" w:hAnsiTheme="minorHAnsi" w:cstheme="minorHAnsi"/>
          <w:color w:val="000000"/>
          <w:sz w:val="22"/>
        </w:rPr>
        <w:t xml:space="preserve">za dostarczenie towaru złej jakości lub dostarczenie towaru niezgodnego z umową </w:t>
      </w:r>
      <w:r w:rsidR="00F25B9E" w:rsidRPr="004D0157">
        <w:rPr>
          <w:rFonts w:asciiTheme="minorHAnsi" w:hAnsiTheme="minorHAnsi" w:cstheme="minorHAnsi"/>
          <w:color w:val="000000"/>
          <w:sz w:val="22"/>
        </w:rPr>
        <w:t xml:space="preserve">w wysokości 5% wartości </w:t>
      </w:r>
      <w:r w:rsidRPr="004D0157">
        <w:rPr>
          <w:rFonts w:asciiTheme="minorHAnsi" w:hAnsiTheme="minorHAnsi" w:cstheme="minorHAnsi"/>
          <w:color w:val="000000"/>
          <w:sz w:val="22"/>
        </w:rPr>
        <w:t xml:space="preserve">brutto przedmiotu zgłoszenia </w:t>
      </w:r>
      <w:r w:rsidR="00F25B9E" w:rsidRPr="004D0157">
        <w:rPr>
          <w:rFonts w:asciiTheme="minorHAnsi" w:hAnsiTheme="minorHAnsi" w:cstheme="minorHAnsi"/>
          <w:color w:val="000000"/>
          <w:sz w:val="22"/>
        </w:rPr>
        <w:t xml:space="preserve">  </w:t>
      </w:r>
      <w:r w:rsidR="00D93599" w:rsidRPr="004D0157">
        <w:rPr>
          <w:rFonts w:asciiTheme="minorHAnsi" w:hAnsiTheme="minorHAnsi" w:cstheme="minorHAnsi"/>
          <w:color w:val="000000"/>
          <w:sz w:val="22"/>
        </w:rPr>
        <w:t>.</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t>
      </w:r>
      <w:r w:rsidR="00D93599">
        <w:rPr>
          <w:rFonts w:asciiTheme="minorHAnsi" w:hAnsiTheme="minorHAnsi" w:cstheme="minorHAnsi"/>
          <w:color w:val="000000"/>
          <w:sz w:val="22"/>
        </w:rPr>
        <w:t xml:space="preserve">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lastRenderedPageBreak/>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lastRenderedPageBreak/>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Zamawiający wyznacza jako osobę uprawnioną do kontaktów z Dostawcą, w tym dokonania odbioru przedmiotu umowy Pana</w:t>
      </w:r>
      <w:r w:rsidR="00A075AD">
        <w:rPr>
          <w:rFonts w:asciiTheme="minorHAnsi" w:hAnsiTheme="minorHAnsi" w:cstheme="minorHAnsi"/>
          <w:sz w:val="22"/>
        </w:rPr>
        <w:t xml:space="preserve">/Panią </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00A075AD">
        <w:rPr>
          <w:rFonts w:asciiTheme="minorHAnsi" w:hAnsiTheme="minorHAnsi" w:cstheme="minorHAnsi"/>
          <w:sz w:val="22"/>
        </w:rPr>
        <w:t>…….</w:t>
      </w:r>
      <w:r w:rsidRPr="00BF547B">
        <w:rPr>
          <w:rFonts w:asciiTheme="minorHAnsi" w:hAnsiTheme="minorHAnsi" w:cstheme="minorHAnsi"/>
          <w:sz w:val="22"/>
        </w:rPr>
        <w:t>……</w:t>
      </w:r>
      <w:r w:rsidR="00A075AD">
        <w:rPr>
          <w:rFonts w:asciiTheme="minorHAnsi" w:hAnsiTheme="minorHAnsi" w:cstheme="minorHAnsi"/>
          <w:sz w:val="22"/>
        </w:rPr>
        <w:t>, email: ………………..</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 xml:space="preserve">Dostawca  wyznacza jako osobę uprawnioną do kontaktów z Zamawiającym Pana ……………………….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00A075AD">
        <w:rPr>
          <w:rFonts w:asciiTheme="minorHAnsi" w:hAnsiTheme="minorHAnsi" w:cstheme="minorHAnsi"/>
          <w:sz w:val="22"/>
        </w:rPr>
        <w:t>, email: ………………………………………………</w:t>
      </w:r>
      <w:r w:rsidRPr="00BF547B">
        <w:rPr>
          <w:rFonts w:asciiTheme="minorHAnsi" w:hAnsiTheme="minorHAnsi" w:cstheme="minorHAnsi"/>
          <w:sz w:val="22"/>
        </w:rPr>
        <w:tab/>
      </w:r>
    </w:p>
    <w:p w:rsidR="00430CAD" w:rsidRDefault="00430CAD" w:rsidP="00CC2E79">
      <w:pPr>
        <w:autoSpaceDE w:val="0"/>
        <w:autoSpaceDN w:val="0"/>
        <w:adjustRightInd w:val="0"/>
        <w:spacing w:line="240" w:lineRule="auto"/>
        <w:jc w:val="center"/>
        <w:rPr>
          <w:rFonts w:asciiTheme="minorHAnsi" w:hAnsiTheme="minorHAnsi" w:cstheme="minorHAnsi"/>
          <w:b/>
          <w:sz w:val="22"/>
        </w:rPr>
      </w:pP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3FF" w:rsidRDefault="00C343FF" w:rsidP="00FF669A">
      <w:pPr>
        <w:spacing w:line="240" w:lineRule="auto"/>
      </w:pPr>
      <w:r>
        <w:separator/>
      </w:r>
    </w:p>
  </w:endnote>
  <w:endnote w:type="continuationSeparator" w:id="0">
    <w:p w:rsidR="00C343FF" w:rsidRDefault="00C343FF"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7F7492">
        <w:pPr>
          <w:pStyle w:val="Stopka"/>
          <w:jc w:val="right"/>
        </w:pPr>
        <w:fldSimple w:instr="PAGE   \* MERGEFORMAT">
          <w:r w:rsidR="00430CAD">
            <w:rPr>
              <w:noProof/>
            </w:rPr>
            <w:t>2</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3FF" w:rsidRDefault="00C343FF" w:rsidP="00FF669A">
      <w:pPr>
        <w:spacing w:line="240" w:lineRule="auto"/>
      </w:pPr>
      <w:r>
        <w:separator/>
      </w:r>
    </w:p>
  </w:footnote>
  <w:footnote w:type="continuationSeparator" w:id="0">
    <w:p w:rsidR="00C343FF" w:rsidRDefault="00C343FF"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DF375A2"/>
    <w:multiLevelType w:val="hybridMultilevel"/>
    <w:tmpl w:val="C74AFB5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5">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4"/>
  </w:num>
  <w:num w:numId="3">
    <w:abstractNumId w:val="17"/>
  </w:num>
  <w:num w:numId="4">
    <w:abstractNumId w:val="21"/>
  </w:num>
  <w:num w:numId="5">
    <w:abstractNumId w:val="19"/>
  </w:num>
  <w:num w:numId="6">
    <w:abstractNumId w:val="11"/>
  </w:num>
  <w:num w:numId="7">
    <w:abstractNumId w:val="18"/>
  </w:num>
  <w:num w:numId="8">
    <w:abstractNumId w:val="5"/>
  </w:num>
  <w:num w:numId="9">
    <w:abstractNumId w:val="20"/>
  </w:num>
  <w:num w:numId="10">
    <w:abstractNumId w:val="9"/>
  </w:num>
  <w:num w:numId="11">
    <w:abstractNumId w:val="6"/>
  </w:num>
  <w:num w:numId="12">
    <w:abstractNumId w:val="3"/>
  </w:num>
  <w:num w:numId="13">
    <w:abstractNumId w:val="2"/>
  </w:num>
  <w:num w:numId="14">
    <w:abstractNumId w:val="13"/>
  </w:num>
  <w:num w:numId="15">
    <w:abstractNumId w:val="16"/>
  </w:num>
  <w:num w:numId="16">
    <w:abstractNumId w:val="7"/>
  </w:num>
  <w:num w:numId="17">
    <w:abstractNumId w:val="10"/>
  </w:num>
  <w:num w:numId="18">
    <w:abstractNumId w:val="8"/>
  </w:num>
  <w:num w:numId="19">
    <w:abstractNumId w:val="15"/>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9"/>
  <w:hyphenationZone w:val="425"/>
  <w:drawingGridHorizontalSpacing w:val="100"/>
  <w:displayHorizontalDrawingGridEvery w:val="2"/>
  <w:characterSpacingControl w:val="doNotCompress"/>
  <w:hdrShapeDefaults>
    <o:shapedefaults v:ext="edit" spidmax="74754"/>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919"/>
    <w:rsid w:val="000A362D"/>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370A5"/>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C287D"/>
    <w:rsid w:val="001C3B8E"/>
    <w:rsid w:val="001D68D8"/>
    <w:rsid w:val="001E0174"/>
    <w:rsid w:val="001E128B"/>
    <w:rsid w:val="001E41A5"/>
    <w:rsid w:val="001F1E21"/>
    <w:rsid w:val="001F4FA6"/>
    <w:rsid w:val="00201B3F"/>
    <w:rsid w:val="002059BF"/>
    <w:rsid w:val="0021745E"/>
    <w:rsid w:val="00217A62"/>
    <w:rsid w:val="00220557"/>
    <w:rsid w:val="00233D93"/>
    <w:rsid w:val="00233DBA"/>
    <w:rsid w:val="00240FF2"/>
    <w:rsid w:val="00242147"/>
    <w:rsid w:val="00243C18"/>
    <w:rsid w:val="00245D4C"/>
    <w:rsid w:val="00250514"/>
    <w:rsid w:val="00252086"/>
    <w:rsid w:val="00254367"/>
    <w:rsid w:val="0026207C"/>
    <w:rsid w:val="00262127"/>
    <w:rsid w:val="00262B14"/>
    <w:rsid w:val="00263BB4"/>
    <w:rsid w:val="00264713"/>
    <w:rsid w:val="00266930"/>
    <w:rsid w:val="00275E26"/>
    <w:rsid w:val="002763E6"/>
    <w:rsid w:val="0027774A"/>
    <w:rsid w:val="00292C64"/>
    <w:rsid w:val="00294DEC"/>
    <w:rsid w:val="002A26F8"/>
    <w:rsid w:val="002B2552"/>
    <w:rsid w:val="002B5622"/>
    <w:rsid w:val="002C1859"/>
    <w:rsid w:val="002C24BC"/>
    <w:rsid w:val="002E1584"/>
    <w:rsid w:val="002E20DC"/>
    <w:rsid w:val="002E4661"/>
    <w:rsid w:val="002E5D1A"/>
    <w:rsid w:val="002E6C4F"/>
    <w:rsid w:val="002F0695"/>
    <w:rsid w:val="002F0D03"/>
    <w:rsid w:val="002F561C"/>
    <w:rsid w:val="00300AFA"/>
    <w:rsid w:val="00303DB7"/>
    <w:rsid w:val="00307400"/>
    <w:rsid w:val="00320453"/>
    <w:rsid w:val="003236E9"/>
    <w:rsid w:val="00330783"/>
    <w:rsid w:val="00332E5B"/>
    <w:rsid w:val="00336E76"/>
    <w:rsid w:val="00344906"/>
    <w:rsid w:val="00347260"/>
    <w:rsid w:val="00352B7D"/>
    <w:rsid w:val="00357DA1"/>
    <w:rsid w:val="00365111"/>
    <w:rsid w:val="003663AC"/>
    <w:rsid w:val="00366B0A"/>
    <w:rsid w:val="00376DCE"/>
    <w:rsid w:val="003812E9"/>
    <w:rsid w:val="003813D7"/>
    <w:rsid w:val="003827FF"/>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F1350"/>
    <w:rsid w:val="003F2199"/>
    <w:rsid w:val="004035E1"/>
    <w:rsid w:val="004056F1"/>
    <w:rsid w:val="00407920"/>
    <w:rsid w:val="0041084A"/>
    <w:rsid w:val="0041163F"/>
    <w:rsid w:val="004116C0"/>
    <w:rsid w:val="00413C8F"/>
    <w:rsid w:val="00415878"/>
    <w:rsid w:val="00427367"/>
    <w:rsid w:val="00430CAD"/>
    <w:rsid w:val="00431261"/>
    <w:rsid w:val="00433533"/>
    <w:rsid w:val="00442547"/>
    <w:rsid w:val="00454512"/>
    <w:rsid w:val="0046486A"/>
    <w:rsid w:val="00465F87"/>
    <w:rsid w:val="00466BDA"/>
    <w:rsid w:val="004755F2"/>
    <w:rsid w:val="004825E0"/>
    <w:rsid w:val="00493B2E"/>
    <w:rsid w:val="004A5375"/>
    <w:rsid w:val="004A56E0"/>
    <w:rsid w:val="004B110D"/>
    <w:rsid w:val="004B25AC"/>
    <w:rsid w:val="004B6E3A"/>
    <w:rsid w:val="004D0157"/>
    <w:rsid w:val="004D1685"/>
    <w:rsid w:val="004D5F01"/>
    <w:rsid w:val="004F7391"/>
    <w:rsid w:val="00503426"/>
    <w:rsid w:val="00504699"/>
    <w:rsid w:val="00504D91"/>
    <w:rsid w:val="005076F3"/>
    <w:rsid w:val="005077C2"/>
    <w:rsid w:val="00511C05"/>
    <w:rsid w:val="005158AD"/>
    <w:rsid w:val="00516F74"/>
    <w:rsid w:val="005207D1"/>
    <w:rsid w:val="00527B08"/>
    <w:rsid w:val="005317C2"/>
    <w:rsid w:val="00531CBB"/>
    <w:rsid w:val="00532E2D"/>
    <w:rsid w:val="00546CCF"/>
    <w:rsid w:val="005472CD"/>
    <w:rsid w:val="00556F7F"/>
    <w:rsid w:val="00557900"/>
    <w:rsid w:val="00565EA2"/>
    <w:rsid w:val="005673BE"/>
    <w:rsid w:val="00574851"/>
    <w:rsid w:val="00577CE7"/>
    <w:rsid w:val="00584F5A"/>
    <w:rsid w:val="00585CFA"/>
    <w:rsid w:val="0059283B"/>
    <w:rsid w:val="00595EE8"/>
    <w:rsid w:val="00596B0F"/>
    <w:rsid w:val="005A1023"/>
    <w:rsid w:val="005A1589"/>
    <w:rsid w:val="005A53DB"/>
    <w:rsid w:val="005A55A6"/>
    <w:rsid w:val="005B24ED"/>
    <w:rsid w:val="005B6FC1"/>
    <w:rsid w:val="005C065A"/>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51EC7"/>
    <w:rsid w:val="006703E8"/>
    <w:rsid w:val="00671D84"/>
    <w:rsid w:val="00675421"/>
    <w:rsid w:val="0068038A"/>
    <w:rsid w:val="006803A2"/>
    <w:rsid w:val="00686084"/>
    <w:rsid w:val="006864F9"/>
    <w:rsid w:val="00692C53"/>
    <w:rsid w:val="0069315A"/>
    <w:rsid w:val="006949C8"/>
    <w:rsid w:val="00694B09"/>
    <w:rsid w:val="006A2015"/>
    <w:rsid w:val="006B56E1"/>
    <w:rsid w:val="006C15A6"/>
    <w:rsid w:val="006D4D00"/>
    <w:rsid w:val="006D5FF4"/>
    <w:rsid w:val="006E30D7"/>
    <w:rsid w:val="006E6FC8"/>
    <w:rsid w:val="006F04B6"/>
    <w:rsid w:val="006F33CD"/>
    <w:rsid w:val="006F391D"/>
    <w:rsid w:val="006F6CEF"/>
    <w:rsid w:val="006F70A5"/>
    <w:rsid w:val="00703596"/>
    <w:rsid w:val="00712E80"/>
    <w:rsid w:val="0071326B"/>
    <w:rsid w:val="00717112"/>
    <w:rsid w:val="00717EEE"/>
    <w:rsid w:val="00726C47"/>
    <w:rsid w:val="007312E5"/>
    <w:rsid w:val="00734DB4"/>
    <w:rsid w:val="00751A8E"/>
    <w:rsid w:val="007551D5"/>
    <w:rsid w:val="0076024F"/>
    <w:rsid w:val="00761561"/>
    <w:rsid w:val="00762DA3"/>
    <w:rsid w:val="007658FD"/>
    <w:rsid w:val="00766DB3"/>
    <w:rsid w:val="00775381"/>
    <w:rsid w:val="00777F11"/>
    <w:rsid w:val="007868B9"/>
    <w:rsid w:val="00791B29"/>
    <w:rsid w:val="00792C08"/>
    <w:rsid w:val="007950C6"/>
    <w:rsid w:val="00797A1B"/>
    <w:rsid w:val="007A1AB8"/>
    <w:rsid w:val="007A211D"/>
    <w:rsid w:val="007A4137"/>
    <w:rsid w:val="007B1AA4"/>
    <w:rsid w:val="007B3C9B"/>
    <w:rsid w:val="007C2915"/>
    <w:rsid w:val="007C433F"/>
    <w:rsid w:val="007C7227"/>
    <w:rsid w:val="007C7674"/>
    <w:rsid w:val="007D314F"/>
    <w:rsid w:val="007D7798"/>
    <w:rsid w:val="007F10D2"/>
    <w:rsid w:val="007F46CE"/>
    <w:rsid w:val="007F4C8F"/>
    <w:rsid w:val="007F69B7"/>
    <w:rsid w:val="007F7492"/>
    <w:rsid w:val="007F76B8"/>
    <w:rsid w:val="00802A09"/>
    <w:rsid w:val="00803DC5"/>
    <w:rsid w:val="00811713"/>
    <w:rsid w:val="008159B3"/>
    <w:rsid w:val="00822646"/>
    <w:rsid w:val="008269C3"/>
    <w:rsid w:val="00827E41"/>
    <w:rsid w:val="0083290B"/>
    <w:rsid w:val="00836BEB"/>
    <w:rsid w:val="00840F27"/>
    <w:rsid w:val="00846A02"/>
    <w:rsid w:val="00852147"/>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16F"/>
    <w:rsid w:val="008E1F90"/>
    <w:rsid w:val="008E5222"/>
    <w:rsid w:val="008E548B"/>
    <w:rsid w:val="008E5BD2"/>
    <w:rsid w:val="008E6464"/>
    <w:rsid w:val="008F0F72"/>
    <w:rsid w:val="008F1414"/>
    <w:rsid w:val="008F2220"/>
    <w:rsid w:val="008F4C3E"/>
    <w:rsid w:val="00901CE8"/>
    <w:rsid w:val="00901D0C"/>
    <w:rsid w:val="00911D20"/>
    <w:rsid w:val="009163F0"/>
    <w:rsid w:val="009248EB"/>
    <w:rsid w:val="00925D9E"/>
    <w:rsid w:val="0092652A"/>
    <w:rsid w:val="00926635"/>
    <w:rsid w:val="00931EC1"/>
    <w:rsid w:val="00931F91"/>
    <w:rsid w:val="00944376"/>
    <w:rsid w:val="00944952"/>
    <w:rsid w:val="00950681"/>
    <w:rsid w:val="00953AD3"/>
    <w:rsid w:val="009540D9"/>
    <w:rsid w:val="009545B1"/>
    <w:rsid w:val="009576BB"/>
    <w:rsid w:val="009633A1"/>
    <w:rsid w:val="00965F76"/>
    <w:rsid w:val="00982CAD"/>
    <w:rsid w:val="00983243"/>
    <w:rsid w:val="00986D5F"/>
    <w:rsid w:val="00987110"/>
    <w:rsid w:val="00987B43"/>
    <w:rsid w:val="009916DA"/>
    <w:rsid w:val="00991F11"/>
    <w:rsid w:val="00996179"/>
    <w:rsid w:val="009A135E"/>
    <w:rsid w:val="009A3C38"/>
    <w:rsid w:val="009A3E09"/>
    <w:rsid w:val="009B3EF9"/>
    <w:rsid w:val="009C1E3D"/>
    <w:rsid w:val="009C3CAC"/>
    <w:rsid w:val="009C571D"/>
    <w:rsid w:val="009C749D"/>
    <w:rsid w:val="009C7F0D"/>
    <w:rsid w:val="009D19E2"/>
    <w:rsid w:val="009D432D"/>
    <w:rsid w:val="009E35AC"/>
    <w:rsid w:val="009E7F37"/>
    <w:rsid w:val="009F0AEE"/>
    <w:rsid w:val="009F1CAB"/>
    <w:rsid w:val="009F3753"/>
    <w:rsid w:val="00A04BA4"/>
    <w:rsid w:val="00A075AD"/>
    <w:rsid w:val="00A1552F"/>
    <w:rsid w:val="00A15FB5"/>
    <w:rsid w:val="00A1665A"/>
    <w:rsid w:val="00A172D1"/>
    <w:rsid w:val="00A179D0"/>
    <w:rsid w:val="00A206DC"/>
    <w:rsid w:val="00A21577"/>
    <w:rsid w:val="00A2291C"/>
    <w:rsid w:val="00A23405"/>
    <w:rsid w:val="00A244B1"/>
    <w:rsid w:val="00A26FAA"/>
    <w:rsid w:val="00A36F43"/>
    <w:rsid w:val="00A51A38"/>
    <w:rsid w:val="00A54D7F"/>
    <w:rsid w:val="00A62C81"/>
    <w:rsid w:val="00A7267A"/>
    <w:rsid w:val="00A742C3"/>
    <w:rsid w:val="00A811BE"/>
    <w:rsid w:val="00A85176"/>
    <w:rsid w:val="00A85802"/>
    <w:rsid w:val="00A866CE"/>
    <w:rsid w:val="00A92B16"/>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6E2"/>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A7134"/>
    <w:rsid w:val="00BB0D85"/>
    <w:rsid w:val="00BC4D62"/>
    <w:rsid w:val="00BD29F7"/>
    <w:rsid w:val="00BD31CD"/>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43FF"/>
    <w:rsid w:val="00C354ED"/>
    <w:rsid w:val="00C35D72"/>
    <w:rsid w:val="00C37BB3"/>
    <w:rsid w:val="00C40224"/>
    <w:rsid w:val="00C46C4B"/>
    <w:rsid w:val="00C53C90"/>
    <w:rsid w:val="00C62EC4"/>
    <w:rsid w:val="00C716C6"/>
    <w:rsid w:val="00C843DF"/>
    <w:rsid w:val="00C91DC4"/>
    <w:rsid w:val="00CA5635"/>
    <w:rsid w:val="00CB2C57"/>
    <w:rsid w:val="00CB4662"/>
    <w:rsid w:val="00CB75D0"/>
    <w:rsid w:val="00CB7692"/>
    <w:rsid w:val="00CB77EA"/>
    <w:rsid w:val="00CC1B8D"/>
    <w:rsid w:val="00CC2E79"/>
    <w:rsid w:val="00CC43C2"/>
    <w:rsid w:val="00CD11E1"/>
    <w:rsid w:val="00CD37A2"/>
    <w:rsid w:val="00CD4ADB"/>
    <w:rsid w:val="00CD7D8C"/>
    <w:rsid w:val="00CF5C47"/>
    <w:rsid w:val="00CF6352"/>
    <w:rsid w:val="00D01CFE"/>
    <w:rsid w:val="00D1146D"/>
    <w:rsid w:val="00D271D2"/>
    <w:rsid w:val="00D37CBE"/>
    <w:rsid w:val="00D4181A"/>
    <w:rsid w:val="00D41A27"/>
    <w:rsid w:val="00D50E12"/>
    <w:rsid w:val="00D52078"/>
    <w:rsid w:val="00D53498"/>
    <w:rsid w:val="00D573C4"/>
    <w:rsid w:val="00D57BE5"/>
    <w:rsid w:val="00D61544"/>
    <w:rsid w:val="00D65F98"/>
    <w:rsid w:val="00D705DF"/>
    <w:rsid w:val="00D7274F"/>
    <w:rsid w:val="00D77515"/>
    <w:rsid w:val="00D81FBC"/>
    <w:rsid w:val="00D8334D"/>
    <w:rsid w:val="00D85271"/>
    <w:rsid w:val="00D86FA4"/>
    <w:rsid w:val="00D93599"/>
    <w:rsid w:val="00D937F5"/>
    <w:rsid w:val="00DA5AF1"/>
    <w:rsid w:val="00DB266A"/>
    <w:rsid w:val="00DB620D"/>
    <w:rsid w:val="00DB6CFA"/>
    <w:rsid w:val="00DB78B8"/>
    <w:rsid w:val="00DC0DDD"/>
    <w:rsid w:val="00DC4E83"/>
    <w:rsid w:val="00DC7B75"/>
    <w:rsid w:val="00DD1907"/>
    <w:rsid w:val="00DD222A"/>
    <w:rsid w:val="00DD47B9"/>
    <w:rsid w:val="00DD5FB5"/>
    <w:rsid w:val="00DE2052"/>
    <w:rsid w:val="00DE4642"/>
    <w:rsid w:val="00DE7F82"/>
    <w:rsid w:val="00DF7454"/>
    <w:rsid w:val="00E119CC"/>
    <w:rsid w:val="00E14F46"/>
    <w:rsid w:val="00E1599F"/>
    <w:rsid w:val="00E4728E"/>
    <w:rsid w:val="00E557A2"/>
    <w:rsid w:val="00E57EF0"/>
    <w:rsid w:val="00E74F65"/>
    <w:rsid w:val="00E81963"/>
    <w:rsid w:val="00E81FCA"/>
    <w:rsid w:val="00E82794"/>
    <w:rsid w:val="00E837B0"/>
    <w:rsid w:val="00E83F1B"/>
    <w:rsid w:val="00E84BE3"/>
    <w:rsid w:val="00E86ABA"/>
    <w:rsid w:val="00E92285"/>
    <w:rsid w:val="00EA176F"/>
    <w:rsid w:val="00EA3FC6"/>
    <w:rsid w:val="00EA5EB5"/>
    <w:rsid w:val="00EB07E6"/>
    <w:rsid w:val="00EB0F23"/>
    <w:rsid w:val="00EB5407"/>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25F7C-4F44-4DE1-9A30-81670F9F8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3360</Words>
  <Characters>20164</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10</cp:revision>
  <cp:lastPrinted>2021-09-21T08:43:00Z</cp:lastPrinted>
  <dcterms:created xsi:type="dcterms:W3CDTF">2023-11-03T09:26:00Z</dcterms:created>
  <dcterms:modified xsi:type="dcterms:W3CDTF">2025-11-25T10:10:00Z</dcterms:modified>
</cp:coreProperties>
</file>